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EB9533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9E470F">
        <w:rPr>
          <w:rFonts w:cs="Arial"/>
          <w:color w:val="000000"/>
          <w:sz w:val="24"/>
          <w:szCs w:val="24"/>
        </w:rPr>
        <w:t>10541</w:t>
      </w:r>
    </w:p>
    <w:p w14:paraId="2700B07E" w14:textId="00E5E792" w:rsidR="003175E3" w:rsidRPr="008C4D7E" w:rsidRDefault="0061129F"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sidR="001F55D4">
        <w:rPr>
          <w:rFonts w:eastAsia="SimSun"/>
          <w:sz w:val="24"/>
          <w:szCs w:val="24"/>
          <w:lang w:eastAsia="zh-CN"/>
        </w:rPr>
        <w:t>2</w:t>
      </w:r>
      <w:r>
        <w:rPr>
          <w:rFonts w:eastAsia="SimSun"/>
          <w:sz w:val="24"/>
          <w:szCs w:val="24"/>
          <w:lang w:eastAsia="zh-CN"/>
        </w:rPr>
        <w:t>0</w:t>
      </w:r>
      <w:r>
        <w:rPr>
          <w:rFonts w:eastAsia="SimSun"/>
          <w:sz w:val="24"/>
          <w:szCs w:val="24"/>
          <w:vertAlign w:val="superscript"/>
          <w:lang w:eastAsia="zh-CN"/>
        </w:rPr>
        <w:t>th</w:t>
      </w:r>
      <w:r w:rsidR="001F55D4">
        <w:rPr>
          <w:rFonts w:eastAsia="SimSun"/>
          <w:sz w:val="24"/>
          <w:szCs w:val="24"/>
          <w:lang w:eastAsia="zh-CN"/>
        </w:rPr>
        <w:t xml:space="preserve"> – 2</w:t>
      </w:r>
      <w:r>
        <w:rPr>
          <w:rFonts w:eastAsia="SimSun"/>
          <w:sz w:val="24"/>
          <w:szCs w:val="24"/>
          <w:lang w:eastAsia="zh-CN"/>
        </w:rPr>
        <w:t>4</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Aug</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9404F0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51004">
        <w:rPr>
          <w:rFonts w:ascii="Arial" w:hAnsi="Arial"/>
          <w:sz w:val="24"/>
          <w:lang w:val="en-US"/>
        </w:rPr>
        <w:t>6.4.4.1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24DEF1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727B4">
        <w:rPr>
          <w:rFonts w:ascii="Arial" w:hAnsi="Arial"/>
          <w:sz w:val="24"/>
          <w:lang w:val="en-US"/>
        </w:rPr>
        <w:t xml:space="preserve">On </w:t>
      </w:r>
      <w:r w:rsidR="00FC0836">
        <w:rPr>
          <w:rFonts w:ascii="Arial" w:hAnsi="Arial"/>
          <w:sz w:val="24"/>
          <w:lang w:val="en-US"/>
        </w:rPr>
        <w:t xml:space="preserve">the feasibility of </w:t>
      </w:r>
      <w:r w:rsidR="007727B4">
        <w:rPr>
          <w:rFonts w:ascii="Arial" w:hAnsi="Arial"/>
          <w:sz w:val="24"/>
          <w:lang w:val="en-US"/>
        </w:rPr>
        <w:t>NPBCH-based RRM measurement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04922B5C" w14:textId="061C54CD" w:rsidR="0061129F" w:rsidRDefault="001F55D4" w:rsidP="00884374">
      <w:pPr>
        <w:spacing w:after="0"/>
        <w:rPr>
          <w:lang w:val="en-US"/>
        </w:rPr>
      </w:pPr>
      <w:r>
        <w:rPr>
          <w:lang w:val="en-US"/>
        </w:rPr>
        <w:t xml:space="preserve">In the last RAN4 #86bis meeting, RAN4 agreed </w:t>
      </w:r>
      <w:r w:rsidR="00020E38">
        <w:rPr>
          <w:lang w:val="en-US"/>
        </w:rPr>
        <w:t>the</w:t>
      </w:r>
      <w:r>
        <w:rPr>
          <w:lang w:val="en-US"/>
        </w:rPr>
        <w:t xml:space="preserve"> </w:t>
      </w:r>
      <w:r w:rsidR="00020E38">
        <w:rPr>
          <w:lang w:val="en-US"/>
        </w:rPr>
        <w:t>way-forward</w:t>
      </w:r>
      <w:r>
        <w:rPr>
          <w:lang w:val="en-US"/>
        </w:rPr>
        <w:t xml:space="preserve"> [1]</w:t>
      </w:r>
      <w:r w:rsidR="00020E38">
        <w:rPr>
          <w:lang w:val="en-US"/>
        </w:rPr>
        <w:t xml:space="preserve"> to acknowledge the feasibility of the NPBCH-based RRM measurement for </w:t>
      </w:r>
      <w:r w:rsidR="004405E1">
        <w:rPr>
          <w:lang w:val="en-US"/>
        </w:rPr>
        <w:t xml:space="preserve">the </w:t>
      </w:r>
      <w:r w:rsidR="00020E38">
        <w:rPr>
          <w:lang w:val="en-US"/>
        </w:rPr>
        <w:t>serving cell under the condition that UE regenerates MIB-NB and spare bits in MIB-NB</w:t>
      </w:r>
      <w:r w:rsidR="0061129F">
        <w:rPr>
          <w:lang w:val="en-US"/>
        </w:rPr>
        <w:t xml:space="preserve"> and sent the corresponding LS to RAN1/RAN2.</w:t>
      </w:r>
    </w:p>
    <w:p w14:paraId="1CAAF464" w14:textId="16790B70" w:rsidR="0061129F" w:rsidRDefault="0061129F" w:rsidP="00884374">
      <w:pPr>
        <w:spacing w:after="0"/>
        <w:rPr>
          <w:lang w:val="en-US"/>
        </w:rPr>
      </w:pPr>
    </w:p>
    <w:p w14:paraId="3F98E0DB" w14:textId="7425E6CB" w:rsidR="0092330C" w:rsidRDefault="0092330C" w:rsidP="00884374">
      <w:pPr>
        <w:spacing w:after="0"/>
        <w:rPr>
          <w:lang w:val="en-US"/>
        </w:rPr>
      </w:pPr>
      <w:r>
        <w:rPr>
          <w:lang w:val="en-US"/>
        </w:rPr>
        <w:t xml:space="preserve">In this paper, we </w:t>
      </w:r>
      <w:r w:rsidR="00434C4F">
        <w:rPr>
          <w:lang w:val="en-US"/>
        </w:rPr>
        <w:t>discuss the feasibility of NPBCH based RRM measurement based on the recent LS reply from RAN1/RAN2 [2][3].</w:t>
      </w:r>
    </w:p>
    <w:p w14:paraId="2B5DFDAE" w14:textId="06319B1B" w:rsidR="007C61D6" w:rsidRDefault="004405E1" w:rsidP="002B5E9D">
      <w:pPr>
        <w:pStyle w:val="Heading1"/>
        <w:rPr>
          <w:lang w:val="en-US"/>
        </w:rPr>
      </w:pPr>
      <w:r>
        <w:rPr>
          <w:lang w:val="en-US"/>
        </w:rPr>
        <w:t>Discussion</w:t>
      </w:r>
    </w:p>
    <w:p w14:paraId="4DC837C5" w14:textId="1F0EEAC9" w:rsidR="0061129F" w:rsidRDefault="0061129F" w:rsidP="007C1008">
      <w:pPr>
        <w:rPr>
          <w:lang w:val="en-US"/>
        </w:rPr>
      </w:pPr>
      <w:r>
        <w:rPr>
          <w:lang w:val="en-US"/>
        </w:rPr>
        <w:t xml:space="preserve">In [2], RAN2 informed RAN4 that </w:t>
      </w:r>
      <w:r w:rsidR="00A83156">
        <w:rPr>
          <w:lang w:val="en-US"/>
        </w:rPr>
        <w:t>the changes in the MIB content and the spare bits won’t be frequent though</w:t>
      </w:r>
      <w:r w:rsidR="00470DB1">
        <w:rPr>
          <w:lang w:val="en-US"/>
        </w:rPr>
        <w:t xml:space="preserve"> </w:t>
      </w:r>
      <w:r w:rsidR="004A2E64">
        <w:rPr>
          <w:lang w:val="en-US"/>
        </w:rPr>
        <w:t xml:space="preserve">it can not be assumed by UE that </w:t>
      </w:r>
      <w:r w:rsidR="00A83156">
        <w:rPr>
          <w:lang w:val="en-US"/>
        </w:rPr>
        <w:t>they will</w:t>
      </w:r>
      <w:r>
        <w:rPr>
          <w:lang w:val="en-US"/>
        </w:rPr>
        <w:t xml:space="preserve"> not change </w:t>
      </w:r>
      <w:r w:rsidR="004A2E64">
        <w:rPr>
          <w:lang w:val="en-US"/>
        </w:rPr>
        <w:t xml:space="preserve">at </w:t>
      </w:r>
      <w:proofErr w:type="gramStart"/>
      <w:r w:rsidR="004A2E64">
        <w:rPr>
          <w:lang w:val="en-US"/>
        </w:rPr>
        <w:t xml:space="preserve">all </w:t>
      </w:r>
      <w:r>
        <w:rPr>
          <w:lang w:val="en-US"/>
        </w:rPr>
        <w:t>across</w:t>
      </w:r>
      <w:proofErr w:type="gramEnd"/>
      <w:r>
        <w:rPr>
          <w:lang w:val="en-US"/>
        </w:rPr>
        <w:t xml:space="preserve"> the NPBCH transmission periods.</w:t>
      </w:r>
    </w:p>
    <w:p w14:paraId="55A78E50" w14:textId="41051270" w:rsidR="00120D77" w:rsidRPr="00120D77" w:rsidRDefault="00120D77" w:rsidP="00120D77">
      <w:pPr>
        <w:jc w:val="both"/>
        <w:rPr>
          <w:i/>
        </w:rPr>
      </w:pPr>
      <w:r w:rsidRPr="00120D77">
        <w:rPr>
          <w:i/>
          <w:lang w:val="en-US"/>
        </w:rPr>
        <w:t>“</w:t>
      </w:r>
      <w:r w:rsidRPr="00120D77">
        <w:rPr>
          <w:rFonts w:ascii="Arial" w:hAnsi="Arial" w:cs="Arial"/>
          <w:i/>
        </w:rPr>
        <w:t xml:space="preserve">RAN2 thanks RAN4 for the LS </w:t>
      </w:r>
      <w:r w:rsidRPr="00120D77">
        <w:rPr>
          <w:rFonts w:ascii="Arial" w:hAnsi="Arial" w:cs="Arial"/>
          <w:i/>
          <w:lang w:eastAsia="zh-CN"/>
        </w:rPr>
        <w:t>on narrowband measurement enhancements. RAN2 discussed whether the spare bits can change across NPBCH transmission periods, and RAN2 concluded that the UE cannot assume that the spare bits will not change in a later release and that the UE can also not assume that the schedulingInfoSIB1, systemInfoValueTag and ab-Enabled do not change, but changes are not frequent.”</w:t>
      </w:r>
    </w:p>
    <w:p w14:paraId="25E56A81" w14:textId="5F315BD9" w:rsidR="00443A6F" w:rsidRDefault="00120D77" w:rsidP="00443A6F">
      <w:pPr>
        <w:rPr>
          <w:lang w:val="en-US"/>
        </w:rPr>
      </w:pPr>
      <w:r>
        <w:rPr>
          <w:lang w:val="en-US"/>
        </w:rPr>
        <w:t>From UE perspective, the fact that the content of MIB-NB does not change frequently is sufficient enough to use NPBCH for RRM measurement</w:t>
      </w:r>
      <w:r w:rsidR="00EE0D40">
        <w:rPr>
          <w:lang w:val="en-US"/>
        </w:rPr>
        <w:t xml:space="preserve"> for the serving cell</w:t>
      </w:r>
      <w:r w:rsidR="00187BB6">
        <w:rPr>
          <w:lang w:val="en-US"/>
        </w:rPr>
        <w:t>.</w:t>
      </w:r>
      <w:r w:rsidR="00370D19">
        <w:rPr>
          <w:lang w:val="en-US"/>
        </w:rPr>
        <w:t xml:space="preserve"> </w:t>
      </w:r>
      <w:r w:rsidR="0083737F">
        <w:rPr>
          <w:lang w:val="en-US"/>
        </w:rPr>
        <w:t xml:space="preserve">Since </w:t>
      </w:r>
      <w:r w:rsidR="00034253">
        <w:rPr>
          <w:lang w:val="en-US"/>
        </w:rPr>
        <w:t>the content change in MIB-NB</w:t>
      </w:r>
      <w:r w:rsidR="00443A6F">
        <w:rPr>
          <w:lang w:val="en-US"/>
        </w:rPr>
        <w:t xml:space="preserve"> other than SFN</w:t>
      </w:r>
      <w:r w:rsidR="00034253">
        <w:rPr>
          <w:lang w:val="en-US"/>
        </w:rPr>
        <w:t xml:space="preserve"> is not frequent, the NPBCH symbols reconstructed by UE can be use</w:t>
      </w:r>
      <w:r w:rsidR="00443A6F">
        <w:rPr>
          <w:lang w:val="en-US"/>
        </w:rPr>
        <w:t>d</w:t>
      </w:r>
      <w:r w:rsidR="00034253">
        <w:rPr>
          <w:lang w:val="en-US"/>
        </w:rPr>
        <w:t xml:space="preserve"> as the additional reference signal </w:t>
      </w:r>
      <w:r w:rsidR="009E0980">
        <w:rPr>
          <w:lang w:val="en-US"/>
        </w:rPr>
        <w:t xml:space="preserve">in most of the RRM measurement instances </w:t>
      </w:r>
      <w:r w:rsidR="00034253">
        <w:rPr>
          <w:lang w:val="en-US"/>
        </w:rPr>
        <w:t xml:space="preserve">to improve the measurement accuracy. </w:t>
      </w:r>
      <w:r w:rsidR="00443A6F">
        <w:rPr>
          <w:lang w:val="en-US"/>
        </w:rPr>
        <w:t xml:space="preserve">It is also noteworthy that RAN4 made the similar assumption </w:t>
      </w:r>
      <w:r w:rsidR="00906337">
        <w:rPr>
          <w:lang w:val="en-US"/>
        </w:rPr>
        <w:t>that</w:t>
      </w:r>
      <w:r w:rsidR="00443A6F">
        <w:rPr>
          <w:lang w:val="en-US"/>
        </w:rPr>
        <w:t xml:space="preserve"> MIB/SIB1-BR content </w:t>
      </w:r>
      <w:r w:rsidR="00906337">
        <w:rPr>
          <w:lang w:val="en-US"/>
        </w:rPr>
        <w:t xml:space="preserve">does not </w:t>
      </w:r>
      <w:r w:rsidR="00443A6F">
        <w:rPr>
          <w:lang w:val="en-US"/>
        </w:rPr>
        <w:t>change across TTIs when defining a tighter CGI reading delay requirement for Rel.15 eFeMTC WI [4].</w:t>
      </w:r>
    </w:p>
    <w:p w14:paraId="6641CA98" w14:textId="09665ABC" w:rsidR="00FC0836" w:rsidRDefault="00FC0836" w:rsidP="00443A6F">
      <w:pPr>
        <w:rPr>
          <w:b/>
          <w:lang w:val="en-US"/>
        </w:rPr>
      </w:pPr>
      <w:r w:rsidRPr="00FC0836">
        <w:rPr>
          <w:b/>
          <w:lang w:val="en-US"/>
        </w:rPr>
        <w:t>Observation 1. RAN2 confirm</w:t>
      </w:r>
      <w:r w:rsidR="00C5459E">
        <w:rPr>
          <w:b/>
          <w:lang w:val="en-US"/>
        </w:rPr>
        <w:t>ed</w:t>
      </w:r>
      <w:r w:rsidRPr="00FC0836">
        <w:rPr>
          <w:b/>
          <w:lang w:val="en-US"/>
        </w:rPr>
        <w:t xml:space="preserve"> that the changes in the MIB-NB content are not frequent.</w:t>
      </w:r>
    </w:p>
    <w:p w14:paraId="31B4A760" w14:textId="2F09F7AD" w:rsidR="00FC0836" w:rsidRPr="009E0980" w:rsidRDefault="00FC0836" w:rsidP="00FC0836">
      <w:pPr>
        <w:rPr>
          <w:b/>
          <w:lang w:val="en-US"/>
        </w:rPr>
      </w:pPr>
      <w:r w:rsidRPr="009E0980">
        <w:rPr>
          <w:b/>
          <w:lang w:val="en-US"/>
        </w:rPr>
        <w:t xml:space="preserve">Observation </w:t>
      </w:r>
      <w:r>
        <w:rPr>
          <w:b/>
          <w:lang w:val="en-US"/>
        </w:rPr>
        <w:t>2</w:t>
      </w:r>
      <w:r w:rsidRPr="009E0980">
        <w:rPr>
          <w:b/>
          <w:lang w:val="en-US"/>
        </w:rPr>
        <w:t xml:space="preserve">. </w:t>
      </w:r>
      <w:r>
        <w:rPr>
          <w:b/>
          <w:lang w:val="en-US"/>
        </w:rPr>
        <w:t>Reduced CGI reading delay requirement for eFeMTC UE in Rel.15 is introduced under the similar assumption that MIB/SIB1-BR content does not change across TTI.</w:t>
      </w:r>
    </w:p>
    <w:p w14:paraId="328306B0" w14:textId="72C8E639" w:rsidR="009E0980" w:rsidRDefault="00FC0836" w:rsidP="00443A6F">
      <w:pPr>
        <w:rPr>
          <w:b/>
          <w:lang w:val="en-US"/>
        </w:rPr>
      </w:pPr>
      <w:r>
        <w:rPr>
          <w:b/>
          <w:lang w:val="en-US"/>
        </w:rPr>
        <w:t>Observat</w:t>
      </w:r>
      <w:r w:rsidR="00C5459E">
        <w:rPr>
          <w:b/>
          <w:lang w:val="en-US"/>
        </w:rPr>
        <w:t>io</w:t>
      </w:r>
      <w:r>
        <w:rPr>
          <w:b/>
          <w:lang w:val="en-US"/>
        </w:rPr>
        <w:t>n 3</w:t>
      </w:r>
      <w:r w:rsidR="009E0980" w:rsidRPr="009E0980">
        <w:rPr>
          <w:b/>
          <w:lang w:val="en-US"/>
        </w:rPr>
        <w:t xml:space="preserve">. </w:t>
      </w:r>
      <w:r>
        <w:rPr>
          <w:b/>
          <w:lang w:val="en-US"/>
        </w:rPr>
        <w:t xml:space="preserve">Infrequent change in the MIB-NB content means that </w:t>
      </w:r>
      <w:r w:rsidR="00C5459E">
        <w:rPr>
          <w:b/>
          <w:lang w:val="en-US"/>
        </w:rPr>
        <w:t xml:space="preserve">in most measurement instances, </w:t>
      </w:r>
      <w:r>
        <w:rPr>
          <w:b/>
          <w:lang w:val="en-US"/>
        </w:rPr>
        <w:t>the r</w:t>
      </w:r>
      <w:r w:rsidR="009E0980">
        <w:rPr>
          <w:b/>
          <w:lang w:val="en-US"/>
        </w:rPr>
        <w:t xml:space="preserve">econstructued NPBCH symbols </w:t>
      </w:r>
      <w:r w:rsidR="00C5459E">
        <w:rPr>
          <w:b/>
          <w:lang w:val="en-US"/>
        </w:rPr>
        <w:t xml:space="preserve">can serve </w:t>
      </w:r>
      <w:r>
        <w:rPr>
          <w:b/>
          <w:lang w:val="en-US"/>
        </w:rPr>
        <w:t xml:space="preserve">as an additional </w:t>
      </w:r>
      <w:r w:rsidR="00C5459E" w:rsidRPr="00C5459E">
        <w:rPr>
          <w:b/>
          <w:i/>
          <w:lang w:val="en-US"/>
        </w:rPr>
        <w:t xml:space="preserve">denser </w:t>
      </w:r>
      <w:r>
        <w:rPr>
          <w:b/>
          <w:lang w:val="en-US"/>
        </w:rPr>
        <w:t xml:space="preserve">reference symbol to </w:t>
      </w:r>
      <w:r w:rsidR="009E0980">
        <w:rPr>
          <w:b/>
          <w:lang w:val="en-US"/>
        </w:rPr>
        <w:t>improve the RRM measurement accuracy.</w:t>
      </w:r>
    </w:p>
    <w:p w14:paraId="41F00A32" w14:textId="32E92FC2" w:rsidR="0025726D" w:rsidRDefault="0025726D" w:rsidP="00443A6F">
      <w:pPr>
        <w:rPr>
          <w:lang w:val="en-US"/>
        </w:rPr>
      </w:pPr>
      <w:r>
        <w:rPr>
          <w:lang w:val="en-US"/>
        </w:rPr>
        <w:t>Given the data-aided nature of NPBCH-based RRM measurement, our view is that NPBCH-based RRM measurement is supposed to supplement the existing RRM measurement scheme rather than completely replacing it. Therefore, i</w:t>
      </w:r>
      <w:r w:rsidR="00034253">
        <w:rPr>
          <w:lang w:val="en-US"/>
        </w:rPr>
        <w:t>n the</w:t>
      </w:r>
      <w:r w:rsidR="00D30B61">
        <w:rPr>
          <w:lang w:val="en-US"/>
        </w:rPr>
        <w:t xml:space="preserve"> infrequent</w:t>
      </w:r>
      <w:r w:rsidR="00034253">
        <w:rPr>
          <w:lang w:val="en-US"/>
        </w:rPr>
        <w:t xml:space="preserve"> event of SI information change that affect</w:t>
      </w:r>
      <w:r w:rsidR="0083737F">
        <w:rPr>
          <w:lang w:val="en-US"/>
        </w:rPr>
        <w:t>s</w:t>
      </w:r>
      <w:r w:rsidR="00034253">
        <w:rPr>
          <w:lang w:val="en-US"/>
        </w:rPr>
        <w:t xml:space="preserve"> MIB-NB</w:t>
      </w:r>
      <w:r w:rsidR="00101007">
        <w:rPr>
          <w:lang w:val="en-US"/>
        </w:rPr>
        <w:t xml:space="preserve"> content</w:t>
      </w:r>
      <w:r>
        <w:rPr>
          <w:lang w:val="en-US"/>
        </w:rPr>
        <w:t xml:space="preserve"> (data)</w:t>
      </w:r>
      <w:r w:rsidR="00034253">
        <w:rPr>
          <w:lang w:val="en-US"/>
        </w:rPr>
        <w:t xml:space="preserve">, </w:t>
      </w:r>
      <w:r>
        <w:rPr>
          <w:lang w:val="en-US"/>
        </w:rPr>
        <w:t xml:space="preserve">UE may suspend RRM measurement based on NPBCH and falls back to the NRS-based measurement until the updated MIB-NB is successfully decoded and available for NPBCH symbol reconstruction. </w:t>
      </w:r>
    </w:p>
    <w:p w14:paraId="7EAB67C0" w14:textId="6AF697BA" w:rsidR="0025726D" w:rsidRPr="009E0980" w:rsidRDefault="0025726D" w:rsidP="0025726D">
      <w:pPr>
        <w:rPr>
          <w:b/>
          <w:lang w:val="en-US"/>
        </w:rPr>
      </w:pPr>
      <w:r w:rsidRPr="009E0980">
        <w:rPr>
          <w:b/>
          <w:lang w:val="en-US"/>
        </w:rPr>
        <w:t xml:space="preserve">Observation </w:t>
      </w:r>
      <w:r w:rsidR="00C5459E">
        <w:rPr>
          <w:b/>
          <w:lang w:val="en-US"/>
        </w:rPr>
        <w:t>4</w:t>
      </w:r>
      <w:r w:rsidRPr="009E0980">
        <w:rPr>
          <w:b/>
          <w:lang w:val="en-US"/>
        </w:rPr>
        <w:t xml:space="preserve">. </w:t>
      </w:r>
      <w:r>
        <w:rPr>
          <w:b/>
          <w:lang w:val="en-US"/>
        </w:rPr>
        <w:t>Upon the infrequent event of MIB content change</w:t>
      </w:r>
      <w:r w:rsidR="00C5459E">
        <w:rPr>
          <w:b/>
          <w:lang w:val="en-US"/>
        </w:rPr>
        <w:t xml:space="preserve"> of the serving cell</w:t>
      </w:r>
      <w:r>
        <w:rPr>
          <w:b/>
          <w:lang w:val="en-US"/>
        </w:rPr>
        <w:t xml:space="preserve">, UE </w:t>
      </w:r>
      <w:r w:rsidR="00C5459E">
        <w:rPr>
          <w:b/>
          <w:lang w:val="en-US"/>
        </w:rPr>
        <w:t>may</w:t>
      </w:r>
      <w:r>
        <w:rPr>
          <w:b/>
          <w:lang w:val="en-US"/>
        </w:rPr>
        <w:t xml:space="preserve"> suspend the NPBCH-based RRM measurement and falls back to NRS-based RRM measurement until the updated MIB-NB</w:t>
      </w:r>
      <w:r w:rsidR="00840C47">
        <w:rPr>
          <w:b/>
          <w:lang w:val="en-US"/>
        </w:rPr>
        <w:t xml:space="preserve"> content becomes available.</w:t>
      </w:r>
    </w:p>
    <w:p w14:paraId="22EA0457" w14:textId="535DF7AE" w:rsidR="009E0980" w:rsidRDefault="0025726D" w:rsidP="007C1008">
      <w:pPr>
        <w:rPr>
          <w:lang w:val="en-US"/>
        </w:rPr>
      </w:pPr>
      <w:r>
        <w:rPr>
          <w:lang w:val="en-US"/>
        </w:rPr>
        <w:t xml:space="preserve">Note that any modification in </w:t>
      </w:r>
      <w:r w:rsidR="00B15A26">
        <w:rPr>
          <w:lang w:val="en-US"/>
        </w:rPr>
        <w:t xml:space="preserve">the MIB-NB content such as </w:t>
      </w:r>
      <w:r>
        <w:rPr>
          <w:lang w:val="en-US"/>
        </w:rPr>
        <w:t>the</w:t>
      </w:r>
      <w:r w:rsidR="00034253">
        <w:rPr>
          <w:lang w:val="en-US"/>
        </w:rPr>
        <w:t xml:space="preserve"> systemInfoValueTag and </w:t>
      </w:r>
      <w:r w:rsidR="00101007">
        <w:rPr>
          <w:lang w:val="en-US"/>
        </w:rPr>
        <w:t>schedulingInfoSIB1</w:t>
      </w:r>
      <w:r>
        <w:rPr>
          <w:lang w:val="en-US"/>
        </w:rPr>
        <w:t xml:space="preserve"> </w:t>
      </w:r>
      <w:r w:rsidR="00B15A26">
        <w:rPr>
          <w:lang w:val="en-US"/>
        </w:rPr>
        <w:t>would be</w:t>
      </w:r>
      <w:r>
        <w:rPr>
          <w:lang w:val="en-US"/>
        </w:rPr>
        <w:t xml:space="preserve"> notified to the</w:t>
      </w:r>
      <w:r w:rsidR="00034253">
        <w:rPr>
          <w:lang w:val="en-US"/>
        </w:rPr>
        <w:t xml:space="preserve"> </w:t>
      </w:r>
      <w:r w:rsidR="00B15A26">
        <w:rPr>
          <w:lang w:val="en-US"/>
        </w:rPr>
        <w:t xml:space="preserve">UE in </w:t>
      </w:r>
      <w:r w:rsidR="00034253">
        <w:rPr>
          <w:lang w:val="en-US"/>
        </w:rPr>
        <w:t xml:space="preserve">the modification notification period prior to the actual change. Therefore, </w:t>
      </w:r>
      <w:r w:rsidR="00B15A26">
        <w:rPr>
          <w:lang w:val="en-US"/>
        </w:rPr>
        <w:t>UE can determine when to suspend the NPBCH-based RRM measurement. A</w:t>
      </w:r>
      <w:r w:rsidR="00101007">
        <w:rPr>
          <w:lang w:val="en-US"/>
        </w:rPr>
        <w:t>ccess barring parameter</w:t>
      </w:r>
      <w:r w:rsidR="009E0980">
        <w:rPr>
          <w:lang w:val="en-US"/>
        </w:rPr>
        <w:t xml:space="preserve">, </w:t>
      </w:r>
      <w:r w:rsidR="009E0980" w:rsidRPr="009E0980">
        <w:rPr>
          <w:i/>
          <w:lang w:val="en-US"/>
        </w:rPr>
        <w:t>ab_Enabled</w:t>
      </w:r>
      <w:r w:rsidR="009E0980">
        <w:rPr>
          <w:lang w:val="en-US"/>
        </w:rPr>
        <w:t>,</w:t>
      </w:r>
      <w:r w:rsidR="00101007">
        <w:rPr>
          <w:lang w:val="en-US"/>
        </w:rPr>
        <w:t xml:space="preserve"> </w:t>
      </w:r>
      <w:r w:rsidR="00B15A26">
        <w:rPr>
          <w:lang w:val="en-US"/>
        </w:rPr>
        <w:t xml:space="preserve">is one exception whose </w:t>
      </w:r>
      <w:r w:rsidR="00B15A26">
        <w:rPr>
          <w:lang w:val="en-US"/>
        </w:rPr>
        <w:lastRenderedPageBreak/>
        <w:t xml:space="preserve">change </w:t>
      </w:r>
      <w:r w:rsidR="009E0980">
        <w:rPr>
          <w:lang w:val="en-US"/>
        </w:rPr>
        <w:t>may</w:t>
      </w:r>
      <w:r w:rsidR="00D30B61">
        <w:rPr>
          <w:lang w:val="en-US"/>
        </w:rPr>
        <w:t xml:space="preserve"> not</w:t>
      </w:r>
      <w:r w:rsidR="00101007">
        <w:rPr>
          <w:lang w:val="en-US"/>
        </w:rPr>
        <w:t xml:space="preserve"> </w:t>
      </w:r>
      <w:r w:rsidR="009E0980">
        <w:rPr>
          <w:lang w:val="en-US"/>
        </w:rPr>
        <w:t xml:space="preserve">be </w:t>
      </w:r>
      <w:r w:rsidR="00101007">
        <w:rPr>
          <w:lang w:val="en-US"/>
        </w:rPr>
        <w:t>immediately notified to the UE.</w:t>
      </w:r>
      <w:r w:rsidR="00D30B61">
        <w:rPr>
          <w:lang w:val="en-US"/>
        </w:rPr>
        <w:t xml:space="preserve"> However, </w:t>
      </w:r>
      <w:r w:rsidR="00B15A26">
        <w:rPr>
          <w:lang w:val="en-US"/>
        </w:rPr>
        <w:t xml:space="preserve">even in such case, </w:t>
      </w:r>
      <w:r w:rsidR="00D30B61">
        <w:rPr>
          <w:lang w:val="en-US"/>
        </w:rPr>
        <w:t xml:space="preserve">UE can easily hypothesize </w:t>
      </w:r>
      <w:r w:rsidR="00840C47">
        <w:rPr>
          <w:lang w:val="en-US"/>
        </w:rPr>
        <w:t>the</w:t>
      </w:r>
      <w:r w:rsidR="00D30B61">
        <w:rPr>
          <w:lang w:val="en-US"/>
        </w:rPr>
        <w:t xml:space="preserve"> </w:t>
      </w:r>
      <w:r w:rsidR="00840C47">
        <w:rPr>
          <w:lang w:val="en-US"/>
        </w:rPr>
        <w:t xml:space="preserve">infrequent change on this </w:t>
      </w:r>
      <w:r w:rsidR="00D30B61">
        <w:rPr>
          <w:lang w:val="en-US"/>
        </w:rPr>
        <w:t xml:space="preserve">one-bit information </w:t>
      </w:r>
      <w:r w:rsidR="00B15A26">
        <w:rPr>
          <w:lang w:val="en-US"/>
        </w:rPr>
        <w:t>to</w:t>
      </w:r>
      <w:r w:rsidR="00D30B61">
        <w:rPr>
          <w:lang w:val="en-US"/>
        </w:rPr>
        <w:t xml:space="preserve"> </w:t>
      </w:r>
      <w:r w:rsidR="00B15A26">
        <w:rPr>
          <w:lang w:val="en-US"/>
        </w:rPr>
        <w:t>detect the potential MIB content change and choose</w:t>
      </w:r>
      <w:r w:rsidR="00D30B61">
        <w:rPr>
          <w:lang w:val="en-US"/>
        </w:rPr>
        <w:t xml:space="preserve"> the right set of the reconstructed NPBCH symbols</w:t>
      </w:r>
      <w:r w:rsidR="0092131F">
        <w:rPr>
          <w:lang w:val="en-US"/>
        </w:rPr>
        <w:t xml:space="preserve"> for RRM measurement</w:t>
      </w:r>
      <w:r w:rsidR="00B15A26">
        <w:rPr>
          <w:lang w:val="en-US"/>
        </w:rPr>
        <w:t>.</w:t>
      </w:r>
    </w:p>
    <w:p w14:paraId="5C616E87" w14:textId="6C90FD22" w:rsidR="00034253" w:rsidRDefault="00B15A26" w:rsidP="007C1008">
      <w:pPr>
        <w:rPr>
          <w:lang w:val="en-US"/>
        </w:rPr>
      </w:pPr>
      <w:r>
        <w:rPr>
          <w:lang w:val="en-US"/>
        </w:rPr>
        <w:t xml:space="preserve">RAN1 agreed as a working assumption that NPBCH can be used for RRM measurement and </w:t>
      </w:r>
      <w:r w:rsidR="000647FF">
        <w:rPr>
          <w:lang w:val="en-US"/>
        </w:rPr>
        <w:t xml:space="preserve">has been </w:t>
      </w:r>
      <w:r>
        <w:rPr>
          <w:lang w:val="en-US"/>
        </w:rPr>
        <w:t>await</w:t>
      </w:r>
      <w:r w:rsidR="000647FF">
        <w:rPr>
          <w:lang w:val="en-US"/>
        </w:rPr>
        <w:t>ing</w:t>
      </w:r>
      <w:r>
        <w:rPr>
          <w:lang w:val="en-US"/>
        </w:rPr>
        <w:t xml:space="preserve"> the confirmation from RAN4. Based on the above discussion, we propose to confirm that </w:t>
      </w:r>
      <w:r w:rsidR="000647FF">
        <w:rPr>
          <w:lang w:val="en-US"/>
        </w:rPr>
        <w:t xml:space="preserve">it is feasible to use </w:t>
      </w:r>
      <w:r>
        <w:rPr>
          <w:lang w:val="en-US"/>
        </w:rPr>
        <w:t>NPBCH for RRM measurement</w:t>
      </w:r>
      <w:r w:rsidR="00C5459E">
        <w:rPr>
          <w:lang w:val="en-US"/>
        </w:rPr>
        <w:t>.</w:t>
      </w:r>
      <w:r w:rsidR="000647FF">
        <w:rPr>
          <w:lang w:val="en-US"/>
        </w:rPr>
        <w:t xml:space="preserve"> </w:t>
      </w:r>
    </w:p>
    <w:p w14:paraId="45ACDBDE" w14:textId="1C4B1CE5" w:rsidR="00032A06" w:rsidRDefault="00C5459E" w:rsidP="001F55D4">
      <w:pPr>
        <w:rPr>
          <w:b/>
          <w:lang w:val="en-US"/>
        </w:rPr>
      </w:pPr>
      <w:r w:rsidRPr="00FC0836">
        <w:rPr>
          <w:b/>
          <w:lang w:val="en-US"/>
        </w:rPr>
        <w:t xml:space="preserve">Proposal 1. </w:t>
      </w:r>
      <w:r w:rsidR="00840C47">
        <w:rPr>
          <w:b/>
          <w:lang w:val="en-US"/>
        </w:rPr>
        <w:t>Send LS to</w:t>
      </w:r>
      <w:r w:rsidRPr="00FC0836">
        <w:rPr>
          <w:b/>
          <w:lang w:val="en-US"/>
        </w:rPr>
        <w:t xml:space="preserve"> RAN1/RAN2 </w:t>
      </w:r>
      <w:r w:rsidR="00840C47">
        <w:rPr>
          <w:b/>
          <w:lang w:val="en-US"/>
        </w:rPr>
        <w:t xml:space="preserve">to confirm </w:t>
      </w:r>
      <w:r w:rsidRPr="00FC0836">
        <w:rPr>
          <w:b/>
          <w:lang w:val="en-US"/>
        </w:rPr>
        <w:t>that it is feasible to use NPBCH for RRM measurement</w:t>
      </w:r>
      <w:r>
        <w:rPr>
          <w:b/>
          <w:lang w:val="en-US"/>
        </w:rPr>
        <w:t xml:space="preserve"> for serving cell</w:t>
      </w:r>
      <w:r w:rsidR="000647FF">
        <w:rPr>
          <w:b/>
          <w:lang w:val="en-US"/>
        </w:rPr>
        <w:t>.</w:t>
      </w:r>
    </w:p>
    <w:p w14:paraId="19029830" w14:textId="2D320EEC" w:rsidR="000647FF" w:rsidRPr="005D7959" w:rsidRDefault="000647FF" w:rsidP="001F55D4">
      <w:r>
        <w:rPr>
          <w:lang w:val="en-US"/>
        </w:rPr>
        <w:t>A companion</w:t>
      </w:r>
      <w:r w:rsidR="00840C47">
        <w:rPr>
          <w:lang w:val="en-US"/>
        </w:rPr>
        <w:t xml:space="preserve"> paper for the</w:t>
      </w:r>
      <w:r>
        <w:rPr>
          <w:lang w:val="en-US"/>
        </w:rPr>
        <w:t xml:space="preserve"> </w:t>
      </w:r>
      <w:r w:rsidR="00840C47">
        <w:rPr>
          <w:lang w:val="en-US"/>
        </w:rPr>
        <w:t xml:space="preserve">draft </w:t>
      </w:r>
      <w:r>
        <w:rPr>
          <w:lang w:val="en-US"/>
        </w:rPr>
        <w:t xml:space="preserve">LS </w:t>
      </w:r>
      <w:r w:rsidR="00840C47">
        <w:rPr>
          <w:lang w:val="en-US"/>
        </w:rPr>
        <w:t>response</w:t>
      </w:r>
      <w:r>
        <w:rPr>
          <w:lang w:val="en-US"/>
        </w:rPr>
        <w:t xml:space="preserve"> [5] is also prepared according to the proposal.</w:t>
      </w:r>
    </w:p>
    <w:p w14:paraId="05109B46" w14:textId="77777777" w:rsidR="00F2107A" w:rsidRDefault="0032488E" w:rsidP="005D6C7D">
      <w:pPr>
        <w:pStyle w:val="Heading1"/>
        <w:rPr>
          <w:lang w:val="en-US"/>
        </w:rPr>
      </w:pPr>
      <w:r>
        <w:rPr>
          <w:lang w:val="en-US"/>
        </w:rPr>
        <w:t>Con</w:t>
      </w:r>
      <w:r w:rsidR="00F2107A">
        <w:rPr>
          <w:lang w:val="en-US"/>
        </w:rPr>
        <w:t>clusions</w:t>
      </w:r>
    </w:p>
    <w:p w14:paraId="1F5C11A1" w14:textId="6DB437D9" w:rsidR="005D7959" w:rsidRDefault="005D7959" w:rsidP="005D7959">
      <w:pPr>
        <w:spacing w:after="0"/>
        <w:rPr>
          <w:lang w:val="en-US"/>
        </w:rPr>
      </w:pPr>
      <w:r>
        <w:rPr>
          <w:lang w:val="en-US"/>
        </w:rPr>
        <w:t xml:space="preserve">In this paper, we presented </w:t>
      </w:r>
      <w:r w:rsidR="00FC0836">
        <w:rPr>
          <w:lang w:val="en-US"/>
        </w:rPr>
        <w:t>our view on the feasibility of the NPBCH-based RRM measurement based on the LS response from RAN2 [2].</w:t>
      </w:r>
    </w:p>
    <w:p w14:paraId="73675C2C" w14:textId="37224E06" w:rsidR="001E1039" w:rsidRDefault="001E1039" w:rsidP="001E1039">
      <w:pPr>
        <w:spacing w:after="0"/>
        <w:rPr>
          <w:lang w:val="en-US"/>
        </w:rPr>
      </w:pPr>
    </w:p>
    <w:p w14:paraId="5FC94423" w14:textId="77777777" w:rsidR="00C5459E" w:rsidRDefault="00C5459E" w:rsidP="00C5459E">
      <w:pPr>
        <w:rPr>
          <w:b/>
          <w:lang w:val="en-US"/>
        </w:rPr>
      </w:pPr>
      <w:r w:rsidRPr="00FC0836">
        <w:rPr>
          <w:b/>
          <w:lang w:val="en-US"/>
        </w:rPr>
        <w:t>Observation 1. RAN2 confirm</w:t>
      </w:r>
      <w:r>
        <w:rPr>
          <w:b/>
          <w:lang w:val="en-US"/>
        </w:rPr>
        <w:t>ed</w:t>
      </w:r>
      <w:r w:rsidRPr="00FC0836">
        <w:rPr>
          <w:b/>
          <w:lang w:val="en-US"/>
        </w:rPr>
        <w:t xml:space="preserve"> that the changes in the MIB-NB content are not frequent.</w:t>
      </w:r>
    </w:p>
    <w:p w14:paraId="4747CBCE" w14:textId="77777777" w:rsidR="00C5459E" w:rsidRPr="009E0980" w:rsidRDefault="00C5459E" w:rsidP="00C5459E">
      <w:pPr>
        <w:rPr>
          <w:b/>
          <w:lang w:val="en-US"/>
        </w:rPr>
      </w:pPr>
      <w:r w:rsidRPr="009E0980">
        <w:rPr>
          <w:b/>
          <w:lang w:val="en-US"/>
        </w:rPr>
        <w:t xml:space="preserve">Observation </w:t>
      </w:r>
      <w:r>
        <w:rPr>
          <w:b/>
          <w:lang w:val="en-US"/>
        </w:rPr>
        <w:t>2</w:t>
      </w:r>
      <w:r w:rsidRPr="009E0980">
        <w:rPr>
          <w:b/>
          <w:lang w:val="en-US"/>
        </w:rPr>
        <w:t xml:space="preserve">. </w:t>
      </w:r>
      <w:r>
        <w:rPr>
          <w:b/>
          <w:lang w:val="en-US"/>
        </w:rPr>
        <w:t>Reduced CGI reading delay requirement for eFeMTC UE in Rel.15 is introduced under the similar assumption that MIB/SIB1-BR content does not change across TTI.</w:t>
      </w:r>
    </w:p>
    <w:p w14:paraId="2862768E" w14:textId="1BB706F1" w:rsidR="00C5459E" w:rsidRDefault="00C5459E" w:rsidP="00C5459E">
      <w:pPr>
        <w:rPr>
          <w:b/>
          <w:lang w:val="en-US"/>
        </w:rPr>
      </w:pPr>
      <w:r>
        <w:rPr>
          <w:b/>
          <w:lang w:val="en-US"/>
        </w:rPr>
        <w:t>Observation 3</w:t>
      </w:r>
      <w:r w:rsidRPr="009E0980">
        <w:rPr>
          <w:b/>
          <w:lang w:val="en-US"/>
        </w:rPr>
        <w:t xml:space="preserve">. </w:t>
      </w:r>
      <w:r>
        <w:rPr>
          <w:b/>
          <w:lang w:val="en-US"/>
        </w:rPr>
        <w:t xml:space="preserve">Infrequent change in the MIB-NB content means that in most measurement instances, the reconstructued NPBCH symbols can serve as an additional </w:t>
      </w:r>
      <w:r w:rsidRPr="00C5459E">
        <w:rPr>
          <w:b/>
          <w:i/>
          <w:lang w:val="en-US"/>
        </w:rPr>
        <w:t xml:space="preserve">denser </w:t>
      </w:r>
      <w:r>
        <w:rPr>
          <w:b/>
          <w:lang w:val="en-US"/>
        </w:rPr>
        <w:t>reference symbol to improve the RRM measurement accuracy.</w:t>
      </w:r>
    </w:p>
    <w:p w14:paraId="3CA24AC3" w14:textId="77777777" w:rsidR="00840C47" w:rsidRPr="009E0980" w:rsidRDefault="00840C47" w:rsidP="00840C47">
      <w:pPr>
        <w:rPr>
          <w:b/>
          <w:lang w:val="en-US"/>
        </w:rPr>
      </w:pPr>
      <w:r w:rsidRPr="009E0980">
        <w:rPr>
          <w:b/>
          <w:lang w:val="en-US"/>
        </w:rPr>
        <w:t xml:space="preserve">Observation </w:t>
      </w:r>
      <w:r>
        <w:rPr>
          <w:b/>
          <w:lang w:val="en-US"/>
        </w:rPr>
        <w:t>4</w:t>
      </w:r>
      <w:r w:rsidRPr="009E0980">
        <w:rPr>
          <w:b/>
          <w:lang w:val="en-US"/>
        </w:rPr>
        <w:t xml:space="preserve">. </w:t>
      </w:r>
      <w:r>
        <w:rPr>
          <w:b/>
          <w:lang w:val="en-US"/>
        </w:rPr>
        <w:t>Upon the infrequent event of MIB content change of the serving cell, UE may suspend the NPBCH-based RRM measurement and falls back to NRS-based RRM measurement until the updated MIB-NB content becomes available.</w:t>
      </w:r>
    </w:p>
    <w:p w14:paraId="05E4188B" w14:textId="77777777" w:rsidR="00840C47" w:rsidRDefault="00840C47" w:rsidP="00840C47">
      <w:pPr>
        <w:rPr>
          <w:b/>
          <w:lang w:val="en-US"/>
        </w:rPr>
      </w:pPr>
      <w:r w:rsidRPr="00FC0836">
        <w:rPr>
          <w:b/>
          <w:lang w:val="en-US"/>
        </w:rPr>
        <w:t xml:space="preserve">Proposal 1. </w:t>
      </w:r>
      <w:r>
        <w:rPr>
          <w:b/>
          <w:lang w:val="en-US"/>
        </w:rPr>
        <w:t>Send LS to</w:t>
      </w:r>
      <w:r w:rsidRPr="00FC0836">
        <w:rPr>
          <w:b/>
          <w:lang w:val="en-US"/>
        </w:rPr>
        <w:t xml:space="preserve"> RAN1/RAN2 </w:t>
      </w:r>
      <w:r>
        <w:rPr>
          <w:b/>
          <w:lang w:val="en-US"/>
        </w:rPr>
        <w:t xml:space="preserve">to confirm </w:t>
      </w:r>
      <w:r w:rsidRPr="00FC0836">
        <w:rPr>
          <w:b/>
          <w:lang w:val="en-US"/>
        </w:rPr>
        <w:t>that it is feasible to use NPBCH for RRM measurement</w:t>
      </w:r>
      <w:r>
        <w:rPr>
          <w:b/>
          <w:lang w:val="en-US"/>
        </w:rPr>
        <w:t xml:space="preserve"> for serving cell.</w:t>
      </w:r>
    </w:p>
    <w:p w14:paraId="0C633F9D" w14:textId="77777777" w:rsidR="00797CE5" w:rsidRDefault="00797CE5" w:rsidP="006050F7">
      <w:pPr>
        <w:pStyle w:val="Heading1"/>
        <w:numPr>
          <w:ilvl w:val="0"/>
          <w:numId w:val="0"/>
        </w:numPr>
        <w:rPr>
          <w:lang w:val="en-US"/>
        </w:rPr>
      </w:pPr>
      <w:bookmarkStart w:id="0" w:name="_GoBack"/>
      <w:bookmarkEnd w:id="0"/>
      <w:r>
        <w:rPr>
          <w:lang w:val="en-US"/>
        </w:rPr>
        <w:t>References</w:t>
      </w:r>
    </w:p>
    <w:p w14:paraId="568C1651" w14:textId="22AF2AEB" w:rsidR="00797CE5" w:rsidRDefault="00797CE5" w:rsidP="00797CE5">
      <w:pPr>
        <w:rPr>
          <w:lang w:val="en-US"/>
        </w:rPr>
      </w:pPr>
      <w:r>
        <w:rPr>
          <w:lang w:val="en-US"/>
        </w:rPr>
        <w:t xml:space="preserve">[1] </w:t>
      </w:r>
      <w:r w:rsidRPr="00797CE5">
        <w:rPr>
          <w:lang w:val="en-US"/>
        </w:rPr>
        <w:t>R</w:t>
      </w:r>
      <w:r w:rsidR="00020E38">
        <w:rPr>
          <w:lang w:val="en-US"/>
        </w:rPr>
        <w:t>4</w:t>
      </w:r>
      <w:r w:rsidRPr="00797CE5">
        <w:rPr>
          <w:lang w:val="en-US"/>
        </w:rPr>
        <w:t>-</w:t>
      </w:r>
      <w:r w:rsidR="001F55D4">
        <w:rPr>
          <w:lang w:val="en-US"/>
        </w:rPr>
        <w:t>1805</w:t>
      </w:r>
      <w:r w:rsidR="00020E38">
        <w:rPr>
          <w:lang w:val="en-US"/>
        </w:rPr>
        <w:t>535</w:t>
      </w:r>
      <w:r>
        <w:rPr>
          <w:lang w:val="en-US"/>
        </w:rPr>
        <w:t>, “</w:t>
      </w:r>
      <w:r w:rsidR="00020E38" w:rsidRPr="00020E38">
        <w:t>WF on NPBCH-based RRM measurement</w:t>
      </w:r>
      <w:r w:rsidRPr="00797CE5">
        <w:rPr>
          <w:lang w:val="en-US"/>
        </w:rPr>
        <w:t>”</w:t>
      </w:r>
      <w:r w:rsidR="00020E38">
        <w:rPr>
          <w:lang w:val="en-US"/>
        </w:rPr>
        <w:t>, Qualcomm,</w:t>
      </w:r>
      <w:r w:rsidRPr="00797CE5">
        <w:rPr>
          <w:lang w:val="en-US"/>
        </w:rPr>
        <w:t xml:space="preserve"> TSG-RAN</w:t>
      </w:r>
      <w:r w:rsidR="001F55D4">
        <w:rPr>
          <w:lang w:val="en-US"/>
        </w:rPr>
        <w:t>4</w:t>
      </w:r>
      <w:r w:rsidRPr="00797CE5">
        <w:rPr>
          <w:lang w:val="en-US"/>
        </w:rPr>
        <w:t xml:space="preserve"> #</w:t>
      </w:r>
      <w:r w:rsidR="001F55D4">
        <w:rPr>
          <w:lang w:val="en-US"/>
        </w:rPr>
        <w:t>86bis</w:t>
      </w:r>
    </w:p>
    <w:p w14:paraId="350E431A" w14:textId="7398D7A6" w:rsidR="00690DA5" w:rsidRDefault="00690DA5" w:rsidP="00797CE5">
      <w:pPr>
        <w:rPr>
          <w:lang w:val="en-US"/>
        </w:rPr>
      </w:pPr>
      <w:r>
        <w:rPr>
          <w:lang w:val="en-US"/>
        </w:rPr>
        <w:t xml:space="preserve">[2] </w:t>
      </w:r>
      <w:r w:rsidRPr="00690DA5">
        <w:rPr>
          <w:lang w:val="en-US"/>
        </w:rPr>
        <w:t>R</w:t>
      </w:r>
      <w:r w:rsidR="0061129F">
        <w:rPr>
          <w:lang w:val="en-US"/>
        </w:rPr>
        <w:t>2-1809096</w:t>
      </w:r>
      <w:r>
        <w:rPr>
          <w:lang w:val="en-US"/>
        </w:rPr>
        <w:t>, “</w:t>
      </w:r>
      <w:r w:rsidR="0061129F">
        <w:rPr>
          <w:lang w:val="en-US"/>
        </w:rPr>
        <w:t>Reply LS on narrowband measurement</w:t>
      </w:r>
      <w:r>
        <w:rPr>
          <w:lang w:val="en-US"/>
        </w:rPr>
        <w:t xml:space="preserve">”, </w:t>
      </w:r>
      <w:r w:rsidR="0061129F">
        <w:rPr>
          <w:lang w:val="en-US"/>
        </w:rPr>
        <w:t>Huawei</w:t>
      </w:r>
      <w:r>
        <w:rPr>
          <w:lang w:val="en-US"/>
        </w:rPr>
        <w:t>, TSG-RAN</w:t>
      </w:r>
      <w:r w:rsidR="0061129F">
        <w:rPr>
          <w:lang w:val="en-US"/>
        </w:rPr>
        <w:t>2</w:t>
      </w:r>
      <w:r>
        <w:rPr>
          <w:lang w:val="en-US"/>
        </w:rPr>
        <w:t xml:space="preserve"> #</w:t>
      </w:r>
      <w:r w:rsidR="0061129F">
        <w:rPr>
          <w:lang w:val="en-US"/>
        </w:rPr>
        <w:t>102</w:t>
      </w:r>
    </w:p>
    <w:p w14:paraId="4995EAA6" w14:textId="61AB592E" w:rsidR="0061129F" w:rsidRDefault="0061129F" w:rsidP="00797CE5">
      <w:pPr>
        <w:rPr>
          <w:lang w:val="en-US"/>
        </w:rPr>
      </w:pPr>
      <w:r>
        <w:rPr>
          <w:lang w:val="en-US"/>
        </w:rPr>
        <w:t>[3] R1-1807572, “LS on NPBCH for RRM measurements,” Huawei, TSG-RAN1 #93</w:t>
      </w:r>
    </w:p>
    <w:p w14:paraId="76318C85" w14:textId="4AF7876B" w:rsidR="00443A6F" w:rsidRDefault="00443A6F" w:rsidP="00443A6F">
      <w:pPr>
        <w:rPr>
          <w:lang w:val="en-US"/>
        </w:rPr>
      </w:pPr>
      <w:r>
        <w:rPr>
          <w:lang w:val="en-US"/>
        </w:rPr>
        <w:t xml:space="preserve">[4] </w:t>
      </w:r>
      <w:r w:rsidRPr="00172FA4">
        <w:rPr>
          <w:lang w:val="en-US"/>
        </w:rPr>
        <w:t>R4-1802365, “</w:t>
      </w:r>
      <w:r w:rsidRPr="00172FA4">
        <w:t>Simulation assumption of CGI reading for eFeMTC UE</w:t>
      </w:r>
      <w:r w:rsidRPr="00172FA4">
        <w:rPr>
          <w:lang w:val="en-US"/>
        </w:rPr>
        <w:t>”, Ericsson, RAN4 #</w:t>
      </w:r>
      <w:r>
        <w:rPr>
          <w:lang w:val="en-US"/>
        </w:rPr>
        <w:t>86, Feb 2018</w:t>
      </w:r>
    </w:p>
    <w:p w14:paraId="1512F38F" w14:textId="56084B33" w:rsidR="000647FF" w:rsidRDefault="000647FF" w:rsidP="00443A6F">
      <w:pPr>
        <w:rPr>
          <w:lang w:val="en-US"/>
        </w:rPr>
      </w:pPr>
      <w:r>
        <w:rPr>
          <w:lang w:val="en-US"/>
        </w:rPr>
        <w:t>[5] R4-</w:t>
      </w:r>
      <w:r w:rsidR="00184C00">
        <w:rPr>
          <w:lang w:val="en-US"/>
        </w:rPr>
        <w:t>1810543</w:t>
      </w:r>
      <w:r>
        <w:rPr>
          <w:lang w:val="en-US"/>
        </w:rPr>
        <w:t>, “draft LS reseponse on NPBCH-based RRM measurement”, Qualcomm, TSG-RAN4 #88</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4DC18" w14:textId="77777777" w:rsidR="006E27C5" w:rsidRDefault="006E27C5">
      <w:r>
        <w:separator/>
      </w:r>
    </w:p>
  </w:endnote>
  <w:endnote w:type="continuationSeparator" w:id="0">
    <w:p w14:paraId="50C6A801" w14:textId="77777777" w:rsidR="006E27C5" w:rsidRDefault="006E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6762F" w:rsidRDefault="0086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6762F" w:rsidRDefault="008676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8B3FB" w14:textId="77777777" w:rsidR="006E27C5" w:rsidRDefault="006E27C5">
      <w:r>
        <w:separator/>
      </w:r>
    </w:p>
  </w:footnote>
  <w:footnote w:type="continuationSeparator" w:id="0">
    <w:p w14:paraId="0ED142D3" w14:textId="77777777" w:rsidR="006E27C5" w:rsidRDefault="006E2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3"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4"/>
  </w:num>
  <w:num w:numId="3">
    <w:abstractNumId w:val="30"/>
  </w:num>
  <w:num w:numId="4">
    <w:abstractNumId w:val="9"/>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28"/>
  </w:num>
  <w:num w:numId="8">
    <w:abstractNumId w:val="15"/>
  </w:num>
  <w:num w:numId="9">
    <w:abstractNumId w:val="16"/>
  </w:num>
  <w:num w:numId="10">
    <w:abstractNumId w:val="14"/>
  </w:num>
  <w:num w:numId="11">
    <w:abstractNumId w:val="33"/>
  </w:num>
  <w:num w:numId="12">
    <w:abstractNumId w:val="19"/>
  </w:num>
  <w:num w:numId="13">
    <w:abstractNumId w:val="25"/>
  </w:num>
  <w:num w:numId="14">
    <w:abstractNumId w:val="17"/>
  </w:num>
  <w:num w:numId="15">
    <w:abstractNumId w:val="34"/>
  </w:num>
  <w:num w:numId="16">
    <w:abstractNumId w:val="29"/>
  </w:num>
  <w:num w:numId="17">
    <w:abstractNumId w:val="27"/>
  </w:num>
  <w:num w:numId="18">
    <w:abstractNumId w:val="10"/>
  </w:num>
  <w:num w:numId="19">
    <w:abstractNumId w:val="20"/>
  </w:num>
  <w:num w:numId="20">
    <w:abstractNumId w:val="3"/>
  </w:num>
  <w:num w:numId="21">
    <w:abstractNumId w:val="23"/>
  </w:num>
  <w:num w:numId="22">
    <w:abstractNumId w:val="0"/>
  </w:num>
  <w:num w:numId="23">
    <w:abstractNumId w:val="21"/>
  </w:num>
  <w:num w:numId="24">
    <w:abstractNumId w:val="18"/>
  </w:num>
  <w:num w:numId="25">
    <w:abstractNumId w:val="7"/>
  </w:num>
  <w:num w:numId="26">
    <w:abstractNumId w:val="22"/>
  </w:num>
  <w:num w:numId="27">
    <w:abstractNumId w:val="8"/>
  </w:num>
  <w:num w:numId="28">
    <w:abstractNumId w:val="6"/>
  </w:num>
  <w:num w:numId="29">
    <w:abstractNumId w:val="11"/>
  </w:num>
  <w:num w:numId="30">
    <w:abstractNumId w:val="13"/>
  </w:num>
  <w:num w:numId="31">
    <w:abstractNumId w:val="4"/>
  </w:num>
  <w:num w:numId="32">
    <w:abstractNumId w:val="31"/>
  </w:num>
  <w:num w:numId="33">
    <w:abstractNumId w:val="5"/>
  </w:num>
  <w:num w:numId="34">
    <w:abstractNumId w:val="12"/>
  </w:num>
  <w:num w:numId="3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00"/>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D59"/>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7C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C47"/>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337"/>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70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004"/>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A96"/>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97C79-C4A7-4D46-A5B4-EC281673B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2545</TotalTime>
  <Pages>2</Pages>
  <Words>17</Words>
  <Characters>5462</Characters>
  <Application>Microsoft Office Word</Application>
  <DocSecurity>0</DocSecurity>
  <Lines>68</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38</cp:revision>
  <cp:lastPrinted>2009-04-22T21:01:00Z</cp:lastPrinted>
  <dcterms:created xsi:type="dcterms:W3CDTF">2018-02-16T22:17:00Z</dcterms:created>
  <dcterms:modified xsi:type="dcterms:W3CDTF">2018-08-10T20:13:00Z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